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262" w:rsidRDefault="00A43262" w:rsidP="008326DE">
      <w:pPr>
        <w:jc w:val="center"/>
        <w:rPr>
          <w:b/>
          <w:sz w:val="28"/>
          <w:szCs w:val="28"/>
        </w:rPr>
      </w:pPr>
      <w:r w:rsidRPr="0048332D">
        <w:rPr>
          <w:b/>
          <w:sz w:val="28"/>
          <w:szCs w:val="28"/>
        </w:rPr>
        <w:t>Teaching in the 21</w:t>
      </w:r>
      <w:r w:rsidRPr="0048332D">
        <w:rPr>
          <w:b/>
          <w:sz w:val="28"/>
          <w:szCs w:val="28"/>
          <w:vertAlign w:val="superscript"/>
        </w:rPr>
        <w:t>st</w:t>
      </w:r>
      <w:r w:rsidRPr="0048332D">
        <w:rPr>
          <w:b/>
          <w:sz w:val="28"/>
          <w:szCs w:val="28"/>
        </w:rPr>
        <w:t xml:space="preserve"> Century </w:t>
      </w:r>
      <w:r>
        <w:rPr>
          <w:b/>
          <w:sz w:val="28"/>
          <w:szCs w:val="28"/>
        </w:rPr>
        <w:t>Series</w:t>
      </w:r>
    </w:p>
    <w:p w:rsidR="00A43262" w:rsidRPr="0048332D" w:rsidRDefault="00A43262" w:rsidP="00A77AEF">
      <w:pPr>
        <w:jc w:val="center"/>
        <w:rPr>
          <w:b/>
          <w:sz w:val="28"/>
          <w:szCs w:val="28"/>
        </w:rPr>
      </w:pPr>
      <w:r>
        <w:rPr>
          <w:b/>
          <w:sz w:val="28"/>
          <w:szCs w:val="28"/>
        </w:rPr>
        <w:t>Options for Professional Development</w:t>
      </w:r>
    </w:p>
    <w:p w:rsidR="00A43262" w:rsidRDefault="00A43262" w:rsidP="006653A4">
      <w:r>
        <w:t>The online professional development courses in the Teaching in the 21</w:t>
      </w:r>
      <w:r w:rsidRPr="00A77AEF">
        <w:rPr>
          <w:vertAlign w:val="superscript"/>
        </w:rPr>
        <w:t>st</w:t>
      </w:r>
      <w:r>
        <w:t xml:space="preserve"> Century series offer a number of modalities for professional learning that include: multimedia, articles, podcasts, videos, and activities. These courses are available in blended study group, self study, and graduate course formats for differentiated professional development.   </w:t>
      </w:r>
      <w:r>
        <w:softHyphen/>
      </w:r>
      <w:r w:rsidRPr="006653A4">
        <w:t xml:space="preserve"> </w:t>
      </w:r>
      <w:r>
        <w:t xml:space="preserve">  </w:t>
      </w:r>
    </w:p>
    <w:p w:rsidR="00A43262" w:rsidRDefault="00A43262" w:rsidP="006653A4">
      <w:r>
        <w:t>Additionally, course resources may be used independent of the course and integrated with existing district professional development.  Induction, in service, staff meetings, grade level meetings and content meetings provide potential opportunities where course resources may be valuable.  These options allow flexibility when determining how to best utilize the Teaching in the 21</w:t>
      </w:r>
      <w:r w:rsidRPr="00331800">
        <w:rPr>
          <w:vertAlign w:val="superscript"/>
        </w:rPr>
        <w:t>st</w:t>
      </w:r>
      <w:r>
        <w:t xml:space="preserve"> Century series.</w:t>
      </w:r>
    </w:p>
    <w:p w:rsidR="00A43262" w:rsidRDefault="00A43262" w:rsidP="00BE647C">
      <w:r>
        <w:t>The following courses are available in the Teaching in the 21</w:t>
      </w:r>
      <w:r w:rsidRPr="00BC7687">
        <w:rPr>
          <w:vertAlign w:val="superscript"/>
        </w:rPr>
        <w:t>st</w:t>
      </w:r>
      <w:r>
        <w:t xml:space="preserve"> Century Course Series:</w:t>
      </w:r>
    </w:p>
    <w:p w:rsidR="00A43262" w:rsidRDefault="00A43262" w:rsidP="008326DE">
      <w:pPr>
        <w:pStyle w:val="ListParagraph"/>
        <w:numPr>
          <w:ilvl w:val="0"/>
          <w:numId w:val="3"/>
        </w:numPr>
        <w:spacing w:after="0"/>
      </w:pPr>
      <w:r>
        <w:t>Teaching in the 21</w:t>
      </w:r>
      <w:r w:rsidRPr="00BC7687">
        <w:rPr>
          <w:vertAlign w:val="superscript"/>
        </w:rPr>
        <w:t>st</w:t>
      </w:r>
      <w:r>
        <w:t xml:space="preserve"> Century: The Need for Change</w:t>
      </w:r>
    </w:p>
    <w:p w:rsidR="00A43262" w:rsidRDefault="00A43262" w:rsidP="008326DE">
      <w:pPr>
        <w:pStyle w:val="ListParagraph"/>
        <w:numPr>
          <w:ilvl w:val="0"/>
          <w:numId w:val="3"/>
        </w:numPr>
        <w:spacing w:after="0"/>
      </w:pPr>
      <w:r>
        <w:t>Teaching Authentically in the 21</w:t>
      </w:r>
      <w:r w:rsidRPr="00BC7687">
        <w:rPr>
          <w:vertAlign w:val="superscript"/>
        </w:rPr>
        <w:t>st</w:t>
      </w:r>
      <w:r>
        <w:t xml:space="preserve"> Century Classroom: Math, Science, Social Studies, </w:t>
      </w:r>
    </w:p>
    <w:p w:rsidR="00A43262" w:rsidRDefault="00A43262" w:rsidP="008326DE">
      <w:pPr>
        <w:spacing w:after="0"/>
        <w:ind w:left="360" w:firstLine="360"/>
      </w:pPr>
      <w:r>
        <w:t>or Language Arts</w:t>
      </w:r>
    </w:p>
    <w:p w:rsidR="00A43262" w:rsidRDefault="00A43262" w:rsidP="008326DE">
      <w:pPr>
        <w:pStyle w:val="ListParagraph"/>
        <w:numPr>
          <w:ilvl w:val="0"/>
          <w:numId w:val="3"/>
        </w:numPr>
        <w:spacing w:after="0"/>
      </w:pPr>
      <w:r>
        <w:t>Differentiated Instruction in the 21</w:t>
      </w:r>
      <w:r w:rsidRPr="00BC7687">
        <w:rPr>
          <w:vertAlign w:val="superscript"/>
        </w:rPr>
        <w:t>st</w:t>
      </w:r>
      <w:r>
        <w:t xml:space="preserve"> Century Classroom: Math, Science, Social Studies,</w:t>
      </w:r>
    </w:p>
    <w:p w:rsidR="00A43262" w:rsidRDefault="00A43262" w:rsidP="008326DE">
      <w:pPr>
        <w:spacing w:after="0"/>
        <w:ind w:left="360" w:firstLine="360"/>
      </w:pPr>
      <w:r>
        <w:t>or Language Arts</w:t>
      </w:r>
    </w:p>
    <w:p w:rsidR="00A43262" w:rsidRDefault="00A43262" w:rsidP="008326DE">
      <w:pPr>
        <w:pStyle w:val="ListParagraph"/>
        <w:numPr>
          <w:ilvl w:val="0"/>
          <w:numId w:val="3"/>
        </w:numPr>
        <w:spacing w:after="0"/>
      </w:pPr>
      <w:r>
        <w:t>Inquiry-based Learning in the 21</w:t>
      </w:r>
      <w:r w:rsidRPr="00BC7687">
        <w:rPr>
          <w:vertAlign w:val="superscript"/>
        </w:rPr>
        <w:t>st</w:t>
      </w:r>
      <w:r>
        <w:t xml:space="preserve"> Century Classroom: Math, Science, Social Studies, </w:t>
      </w:r>
    </w:p>
    <w:p w:rsidR="00A43262" w:rsidRDefault="00A43262" w:rsidP="008326DE">
      <w:pPr>
        <w:spacing w:after="0"/>
        <w:ind w:left="360" w:firstLine="360"/>
      </w:pPr>
      <w:r>
        <w:t>or Language Arts</w:t>
      </w:r>
    </w:p>
    <w:p w:rsidR="00A43262" w:rsidRDefault="00A43262" w:rsidP="008326DE">
      <w:pPr>
        <w:pStyle w:val="ListParagraph"/>
        <w:numPr>
          <w:ilvl w:val="0"/>
          <w:numId w:val="3"/>
        </w:numPr>
        <w:spacing w:after="0"/>
      </w:pPr>
      <w:r>
        <w:t>Project-based Learning in the 21</w:t>
      </w:r>
      <w:r w:rsidRPr="00BC7687">
        <w:rPr>
          <w:vertAlign w:val="superscript"/>
        </w:rPr>
        <w:t>st</w:t>
      </w:r>
      <w:r>
        <w:t xml:space="preserve"> Century Classroom: Math, Science, Social Studies, </w:t>
      </w:r>
    </w:p>
    <w:p w:rsidR="00A43262" w:rsidRDefault="00A43262" w:rsidP="008326DE">
      <w:pPr>
        <w:spacing w:after="0"/>
        <w:ind w:left="360" w:firstLine="360"/>
      </w:pPr>
      <w:r>
        <w:t>or Language Arts</w:t>
      </w:r>
    </w:p>
    <w:tbl>
      <w:tblPr>
        <w:tblW w:w="10866" w:type="dxa"/>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ayout w:type="fixed"/>
        <w:tblLook w:val="00A0"/>
      </w:tblPr>
      <w:tblGrid>
        <w:gridCol w:w="1368"/>
        <w:gridCol w:w="2419"/>
        <w:gridCol w:w="2555"/>
        <w:gridCol w:w="3051"/>
        <w:gridCol w:w="1473"/>
      </w:tblGrid>
      <w:tr w:rsidR="00A43262" w:rsidRPr="002F6F08" w:rsidTr="002F6F08">
        <w:trPr>
          <w:cantSplit/>
          <w:jc w:val="center"/>
        </w:trPr>
        <w:tc>
          <w:tcPr>
            <w:tcW w:w="1368" w:type="dxa"/>
            <w:tcBorders>
              <w:top w:val="single" w:sz="8" w:space="0" w:color="FFFFFF"/>
              <w:bottom w:val="single" w:sz="24" w:space="0" w:color="FFFFFF"/>
              <w:right w:val="single" w:sz="8" w:space="0" w:color="FFFFFF"/>
            </w:tcBorders>
            <w:shd w:val="clear" w:color="auto" w:fill="4F81BD"/>
          </w:tcPr>
          <w:p w:rsidR="00A43262" w:rsidRPr="002F6F08" w:rsidRDefault="00A43262" w:rsidP="002F6F08">
            <w:pPr>
              <w:spacing w:after="0" w:line="240" w:lineRule="auto"/>
              <w:jc w:val="center"/>
              <w:rPr>
                <w:b/>
                <w:bCs/>
                <w:color w:val="FFFFFF"/>
              </w:rPr>
            </w:pPr>
            <w:r w:rsidRPr="002F6F08">
              <w:rPr>
                <w:b/>
                <w:bCs/>
                <w:color w:val="FFFFFF"/>
              </w:rPr>
              <w:t>Version</w:t>
            </w:r>
          </w:p>
        </w:tc>
        <w:tc>
          <w:tcPr>
            <w:tcW w:w="2419" w:type="dxa"/>
            <w:tcBorders>
              <w:top w:val="single" w:sz="8" w:space="0" w:color="FFFFFF"/>
              <w:left w:val="single" w:sz="8" w:space="0" w:color="FFFFFF"/>
              <w:bottom w:val="single" w:sz="24" w:space="0" w:color="FFFFFF"/>
              <w:right w:val="single" w:sz="8" w:space="0" w:color="FFFFFF"/>
            </w:tcBorders>
            <w:shd w:val="clear" w:color="auto" w:fill="4F81BD"/>
          </w:tcPr>
          <w:p w:rsidR="00A43262" w:rsidRPr="002F6F08" w:rsidRDefault="00A43262" w:rsidP="002F6F08">
            <w:pPr>
              <w:spacing w:after="0" w:line="240" w:lineRule="auto"/>
              <w:jc w:val="center"/>
              <w:rPr>
                <w:b/>
                <w:bCs/>
                <w:color w:val="FFFFFF"/>
              </w:rPr>
            </w:pPr>
            <w:r w:rsidRPr="002F6F08">
              <w:rPr>
                <w:b/>
                <w:bCs/>
                <w:color w:val="FFFFFF"/>
              </w:rPr>
              <w:t>Details</w:t>
            </w:r>
          </w:p>
        </w:tc>
        <w:tc>
          <w:tcPr>
            <w:tcW w:w="2555" w:type="dxa"/>
            <w:tcBorders>
              <w:top w:val="single" w:sz="8" w:space="0" w:color="FFFFFF"/>
              <w:left w:val="single" w:sz="8" w:space="0" w:color="FFFFFF"/>
              <w:bottom w:val="single" w:sz="24" w:space="0" w:color="FFFFFF"/>
              <w:right w:val="single" w:sz="8" w:space="0" w:color="FFFFFF"/>
            </w:tcBorders>
            <w:shd w:val="clear" w:color="auto" w:fill="4F81BD"/>
          </w:tcPr>
          <w:p w:rsidR="00A43262" w:rsidRPr="002F6F08" w:rsidRDefault="00A43262" w:rsidP="002F6F08">
            <w:pPr>
              <w:spacing w:after="0" w:line="240" w:lineRule="auto"/>
              <w:jc w:val="center"/>
              <w:rPr>
                <w:b/>
                <w:bCs/>
                <w:color w:val="FFFFFF"/>
              </w:rPr>
            </w:pPr>
            <w:r w:rsidRPr="002F6F08">
              <w:rPr>
                <w:b/>
                <w:bCs/>
                <w:color w:val="FFFFFF"/>
              </w:rPr>
              <w:t>Variations</w:t>
            </w:r>
          </w:p>
        </w:tc>
        <w:tc>
          <w:tcPr>
            <w:tcW w:w="3051" w:type="dxa"/>
            <w:tcBorders>
              <w:top w:val="single" w:sz="8" w:space="0" w:color="FFFFFF"/>
              <w:left w:val="single" w:sz="8" w:space="0" w:color="FFFFFF"/>
              <w:bottom w:val="single" w:sz="24" w:space="0" w:color="FFFFFF"/>
              <w:right w:val="single" w:sz="8" w:space="0" w:color="FFFFFF"/>
            </w:tcBorders>
            <w:shd w:val="clear" w:color="auto" w:fill="4F81BD"/>
          </w:tcPr>
          <w:p w:rsidR="00A43262" w:rsidRPr="002F6F08" w:rsidRDefault="00A43262" w:rsidP="002F6F08">
            <w:pPr>
              <w:spacing w:after="0" w:line="240" w:lineRule="auto"/>
              <w:jc w:val="center"/>
              <w:rPr>
                <w:b/>
                <w:bCs/>
                <w:color w:val="FFFFFF"/>
              </w:rPr>
            </w:pPr>
            <w:r w:rsidRPr="002F6F08">
              <w:rPr>
                <w:b/>
                <w:bCs/>
                <w:color w:val="FFFFFF"/>
              </w:rPr>
              <w:t>Implementation Notes</w:t>
            </w:r>
          </w:p>
        </w:tc>
        <w:tc>
          <w:tcPr>
            <w:tcW w:w="1473" w:type="dxa"/>
            <w:tcBorders>
              <w:top w:val="single" w:sz="8" w:space="0" w:color="FFFFFF"/>
              <w:left w:val="single" w:sz="8" w:space="0" w:color="FFFFFF"/>
              <w:bottom w:val="single" w:sz="24" w:space="0" w:color="FFFFFF"/>
            </w:tcBorders>
            <w:shd w:val="clear" w:color="auto" w:fill="4F81BD"/>
          </w:tcPr>
          <w:p w:rsidR="00A43262" w:rsidRPr="002F6F08" w:rsidRDefault="00A43262" w:rsidP="002F6F08">
            <w:pPr>
              <w:spacing w:after="0" w:line="240" w:lineRule="auto"/>
              <w:jc w:val="center"/>
              <w:rPr>
                <w:b/>
                <w:bCs/>
                <w:color w:val="FFFFFF"/>
              </w:rPr>
            </w:pPr>
            <w:r w:rsidRPr="002F6F08">
              <w:rPr>
                <w:b/>
                <w:bCs/>
                <w:color w:val="FFFFFF"/>
              </w:rPr>
              <w:t>Act 48 Reported</w:t>
            </w:r>
          </w:p>
        </w:tc>
      </w:tr>
      <w:tr w:rsidR="00A43262" w:rsidRPr="002F6F08" w:rsidTr="002F6F08">
        <w:trPr>
          <w:cantSplit/>
          <w:jc w:val="center"/>
        </w:trPr>
        <w:tc>
          <w:tcPr>
            <w:tcW w:w="1368" w:type="dxa"/>
            <w:tcBorders>
              <w:top w:val="single" w:sz="8" w:space="0" w:color="FFFFFF"/>
              <w:bottom w:val="nil"/>
              <w:right w:val="single" w:sz="24" w:space="0" w:color="FFFFFF"/>
            </w:tcBorders>
            <w:shd w:val="clear" w:color="auto" w:fill="4F81BD"/>
          </w:tcPr>
          <w:p w:rsidR="00A43262" w:rsidRPr="002F6F08" w:rsidRDefault="00A43262" w:rsidP="002F6F08">
            <w:pPr>
              <w:spacing w:after="0" w:line="240" w:lineRule="auto"/>
              <w:rPr>
                <w:b/>
                <w:bCs/>
                <w:color w:val="FFFFFF"/>
              </w:rPr>
            </w:pPr>
            <w:r w:rsidRPr="002F6F08">
              <w:rPr>
                <w:b/>
                <w:bCs/>
                <w:color w:val="FFFFFF"/>
              </w:rPr>
              <w:t>Blended Study Group</w:t>
            </w:r>
          </w:p>
        </w:tc>
        <w:tc>
          <w:tcPr>
            <w:tcW w:w="2419" w:type="dxa"/>
            <w:tcBorders>
              <w:top w:val="single" w:sz="8" w:space="0" w:color="FFFFFF"/>
              <w:left w:val="single" w:sz="8" w:space="0" w:color="FFFFFF"/>
              <w:bottom w:val="single" w:sz="8" w:space="0" w:color="FFFFFF"/>
              <w:right w:val="single" w:sz="8" w:space="0" w:color="FFFFFF"/>
            </w:tcBorders>
            <w:shd w:val="clear" w:color="auto" w:fill="A7BFDE"/>
          </w:tcPr>
          <w:p w:rsidR="00A43262" w:rsidRPr="002F6F08" w:rsidRDefault="00A43262" w:rsidP="002F6F08">
            <w:pPr>
              <w:spacing w:after="0" w:line="240" w:lineRule="auto"/>
            </w:pPr>
            <w:r w:rsidRPr="002F6F08">
              <w:t>Groups of 5-10 teachers participate in the course with a facilitator.</w:t>
            </w:r>
          </w:p>
        </w:tc>
        <w:tc>
          <w:tcPr>
            <w:tcW w:w="2555" w:type="dxa"/>
            <w:tcBorders>
              <w:top w:val="single" w:sz="8" w:space="0" w:color="FFFFFF"/>
              <w:left w:val="single" w:sz="8" w:space="0" w:color="FFFFFF"/>
              <w:bottom w:val="single" w:sz="8" w:space="0" w:color="FFFFFF"/>
              <w:right w:val="single" w:sz="8" w:space="0" w:color="FFFFFF"/>
            </w:tcBorders>
            <w:shd w:val="clear" w:color="auto" w:fill="A7BFDE"/>
          </w:tcPr>
          <w:p w:rsidR="00A43262" w:rsidRPr="002F6F08" w:rsidRDefault="00A43262" w:rsidP="002F6F08">
            <w:pPr>
              <w:spacing w:after="0" w:line="240" w:lineRule="auto"/>
            </w:pPr>
            <w:r w:rsidRPr="002F6F08">
              <w:t>Discussions may be completed online or face to face.</w:t>
            </w:r>
          </w:p>
          <w:p w:rsidR="00A43262" w:rsidRPr="002F6F08" w:rsidRDefault="00A43262" w:rsidP="002F6F08">
            <w:pPr>
              <w:spacing w:after="0" w:line="240" w:lineRule="auto"/>
            </w:pPr>
          </w:p>
          <w:p w:rsidR="00A43262" w:rsidRPr="002F6F08" w:rsidRDefault="00A43262" w:rsidP="002F6F08">
            <w:pPr>
              <w:spacing w:after="0" w:line="240" w:lineRule="auto"/>
            </w:pPr>
            <w:r w:rsidRPr="002F6F08">
              <w:t>Content specific groups may be combined.</w:t>
            </w:r>
          </w:p>
          <w:p w:rsidR="00A43262" w:rsidRPr="002F6F08" w:rsidRDefault="00A43262" w:rsidP="002F6F08">
            <w:pPr>
              <w:spacing w:after="0" w:line="240" w:lineRule="auto"/>
            </w:pPr>
          </w:p>
          <w:p w:rsidR="00A43262" w:rsidRPr="002F6F08" w:rsidRDefault="00A43262" w:rsidP="002F6F08">
            <w:pPr>
              <w:spacing w:after="0" w:line="240" w:lineRule="auto"/>
            </w:pPr>
            <w:r w:rsidRPr="002F6F08">
              <w:t>Content may be differentiated by viewing subject specific material in small groups.</w:t>
            </w:r>
          </w:p>
          <w:p w:rsidR="00A43262" w:rsidRPr="002F6F08" w:rsidRDefault="00A43262" w:rsidP="002F6F08">
            <w:pPr>
              <w:spacing w:after="0" w:line="240" w:lineRule="auto"/>
            </w:pPr>
          </w:p>
          <w:p w:rsidR="00A43262" w:rsidRPr="002F6F08" w:rsidRDefault="00A43262" w:rsidP="002F6F08">
            <w:pPr>
              <w:spacing w:after="0" w:line="240" w:lineRule="auto"/>
            </w:pPr>
          </w:p>
        </w:tc>
        <w:tc>
          <w:tcPr>
            <w:tcW w:w="3051" w:type="dxa"/>
            <w:tcBorders>
              <w:top w:val="single" w:sz="8" w:space="0" w:color="FFFFFF"/>
              <w:left w:val="single" w:sz="8" w:space="0" w:color="FFFFFF"/>
              <w:bottom w:val="single" w:sz="8" w:space="0" w:color="FFFFFF"/>
              <w:right w:val="single" w:sz="8" w:space="0" w:color="FFFFFF"/>
            </w:tcBorders>
            <w:shd w:val="clear" w:color="auto" w:fill="A7BFDE"/>
          </w:tcPr>
          <w:p w:rsidR="00A43262" w:rsidRPr="002F6F08" w:rsidRDefault="00A43262" w:rsidP="002F6F08">
            <w:pPr>
              <w:spacing w:after="0" w:line="240" w:lineRule="auto"/>
            </w:pPr>
            <w:r w:rsidRPr="002F6F08">
              <w:t>Enrollment manager must set up study groups and assign a facilitator to the group.</w:t>
            </w:r>
          </w:p>
        </w:tc>
        <w:tc>
          <w:tcPr>
            <w:tcW w:w="1473" w:type="dxa"/>
            <w:tcBorders>
              <w:top w:val="single" w:sz="8" w:space="0" w:color="FFFFFF"/>
              <w:left w:val="single" w:sz="8" w:space="0" w:color="FFFFFF"/>
              <w:bottom w:val="single" w:sz="8" w:space="0" w:color="FFFFFF"/>
            </w:tcBorders>
            <w:shd w:val="clear" w:color="auto" w:fill="A7BFDE"/>
          </w:tcPr>
          <w:p w:rsidR="00A43262" w:rsidRPr="002F6F08" w:rsidRDefault="00A43262" w:rsidP="002F6F08">
            <w:pPr>
              <w:spacing w:after="0" w:line="240" w:lineRule="auto"/>
            </w:pPr>
            <w:r w:rsidRPr="002F6F08">
              <w:t>30 hours</w:t>
            </w:r>
          </w:p>
        </w:tc>
      </w:tr>
      <w:tr w:rsidR="00A43262" w:rsidRPr="002F6F08" w:rsidTr="002F6F08">
        <w:trPr>
          <w:cantSplit/>
          <w:jc w:val="center"/>
        </w:trPr>
        <w:tc>
          <w:tcPr>
            <w:tcW w:w="1368" w:type="dxa"/>
            <w:tcBorders>
              <w:bottom w:val="nil"/>
              <w:right w:val="single" w:sz="24" w:space="0" w:color="FFFFFF"/>
            </w:tcBorders>
            <w:shd w:val="clear" w:color="auto" w:fill="4F81BD"/>
          </w:tcPr>
          <w:p w:rsidR="00A43262" w:rsidRPr="002F6F08" w:rsidRDefault="00A43262" w:rsidP="002F6F08">
            <w:pPr>
              <w:spacing w:after="0" w:line="240" w:lineRule="auto"/>
              <w:rPr>
                <w:b/>
                <w:bCs/>
                <w:color w:val="FFFFFF"/>
              </w:rPr>
            </w:pPr>
            <w:r w:rsidRPr="002F6F08">
              <w:rPr>
                <w:b/>
                <w:bCs/>
                <w:color w:val="FFFFFF"/>
              </w:rPr>
              <w:t>Self-study</w:t>
            </w:r>
          </w:p>
        </w:tc>
        <w:tc>
          <w:tcPr>
            <w:tcW w:w="2419" w:type="dxa"/>
            <w:shd w:val="clear" w:color="auto" w:fill="D3DFEE"/>
          </w:tcPr>
          <w:p w:rsidR="00A43262" w:rsidRPr="002F6F08" w:rsidRDefault="00A43262" w:rsidP="002F6F08">
            <w:pPr>
              <w:spacing w:after="0" w:line="240" w:lineRule="auto"/>
            </w:pPr>
            <w:r w:rsidRPr="002F6F08">
              <w:t>Teachers complete the course independently, working at their own pace.  This version does not include online discussions.</w:t>
            </w:r>
          </w:p>
        </w:tc>
        <w:tc>
          <w:tcPr>
            <w:tcW w:w="2555" w:type="dxa"/>
            <w:shd w:val="clear" w:color="auto" w:fill="D3DFEE"/>
          </w:tcPr>
          <w:p w:rsidR="00A43262" w:rsidRPr="002F6F08" w:rsidRDefault="00A43262" w:rsidP="002F6F08">
            <w:pPr>
              <w:spacing w:after="0" w:line="240" w:lineRule="auto"/>
            </w:pPr>
            <w:r w:rsidRPr="002F6F08">
              <w:t xml:space="preserve">Self directed study groups may be formed.  </w:t>
            </w:r>
          </w:p>
          <w:p w:rsidR="00A43262" w:rsidRPr="002F6F08" w:rsidRDefault="00A43262" w:rsidP="002F6F08">
            <w:pPr>
              <w:spacing w:after="0" w:line="240" w:lineRule="auto"/>
            </w:pPr>
          </w:p>
          <w:p w:rsidR="00A43262" w:rsidRPr="002F6F08" w:rsidRDefault="00A43262" w:rsidP="002F6F08">
            <w:pPr>
              <w:spacing w:after="0" w:line="240" w:lineRule="auto"/>
            </w:pPr>
            <w:r w:rsidRPr="002F6F08">
              <w:t>Portions of the course are completed independently by learners.</w:t>
            </w:r>
          </w:p>
          <w:p w:rsidR="00A43262" w:rsidRPr="002F6F08" w:rsidRDefault="00A43262" w:rsidP="002F6F08">
            <w:pPr>
              <w:spacing w:after="0" w:line="240" w:lineRule="auto"/>
            </w:pPr>
          </w:p>
          <w:p w:rsidR="00A43262" w:rsidRPr="002F6F08" w:rsidRDefault="00A43262" w:rsidP="002F6F08">
            <w:pPr>
              <w:spacing w:after="0" w:line="240" w:lineRule="auto"/>
            </w:pPr>
            <w:r w:rsidRPr="002F6F08">
              <w:t>Small groups meet to discuss content, complete activities, view video, etc.</w:t>
            </w:r>
          </w:p>
        </w:tc>
        <w:tc>
          <w:tcPr>
            <w:tcW w:w="3051" w:type="dxa"/>
            <w:shd w:val="clear" w:color="auto" w:fill="D3DFEE"/>
          </w:tcPr>
          <w:p w:rsidR="00A43262" w:rsidRPr="002F6F08" w:rsidRDefault="00A43262" w:rsidP="002F6F08">
            <w:pPr>
              <w:spacing w:after="0" w:line="240" w:lineRule="auto"/>
            </w:pPr>
            <w:r w:rsidRPr="002F6F08">
              <w:t>Teachers register individually for this version.  No enrollment manager or facilitator required.</w:t>
            </w:r>
          </w:p>
        </w:tc>
        <w:tc>
          <w:tcPr>
            <w:tcW w:w="1473" w:type="dxa"/>
            <w:shd w:val="clear" w:color="auto" w:fill="D3DFEE"/>
          </w:tcPr>
          <w:p w:rsidR="00A43262" w:rsidRPr="002F6F08" w:rsidRDefault="00A43262" w:rsidP="002F6F08">
            <w:pPr>
              <w:spacing w:after="0" w:line="240" w:lineRule="auto"/>
            </w:pPr>
            <w:r w:rsidRPr="002F6F08">
              <w:t>15 hours</w:t>
            </w:r>
          </w:p>
        </w:tc>
      </w:tr>
      <w:tr w:rsidR="00A43262" w:rsidRPr="002F6F08" w:rsidTr="002F6F08">
        <w:trPr>
          <w:cantSplit/>
          <w:jc w:val="center"/>
        </w:trPr>
        <w:tc>
          <w:tcPr>
            <w:tcW w:w="1368" w:type="dxa"/>
            <w:tcBorders>
              <w:top w:val="single" w:sz="8" w:space="0" w:color="FFFFFF"/>
              <w:bottom w:val="nil"/>
              <w:right w:val="single" w:sz="24" w:space="0" w:color="FFFFFF"/>
            </w:tcBorders>
            <w:shd w:val="clear" w:color="auto" w:fill="4F81BD"/>
          </w:tcPr>
          <w:p w:rsidR="00A43262" w:rsidRPr="002F6F08" w:rsidRDefault="00A43262" w:rsidP="002F6F08">
            <w:pPr>
              <w:spacing w:after="0" w:line="240" w:lineRule="auto"/>
              <w:rPr>
                <w:b/>
                <w:bCs/>
                <w:color w:val="FFFFFF"/>
              </w:rPr>
            </w:pPr>
            <w:r w:rsidRPr="002F6F08">
              <w:rPr>
                <w:b/>
                <w:bCs/>
                <w:color w:val="FFFFFF"/>
              </w:rPr>
              <w:t>Graduate Credit</w:t>
            </w:r>
          </w:p>
        </w:tc>
        <w:tc>
          <w:tcPr>
            <w:tcW w:w="2419" w:type="dxa"/>
            <w:tcBorders>
              <w:top w:val="single" w:sz="8" w:space="0" w:color="FFFFFF"/>
              <w:left w:val="single" w:sz="8" w:space="0" w:color="FFFFFF"/>
              <w:bottom w:val="single" w:sz="8" w:space="0" w:color="FFFFFF"/>
              <w:right w:val="single" w:sz="8" w:space="0" w:color="FFFFFF"/>
            </w:tcBorders>
            <w:shd w:val="clear" w:color="auto" w:fill="A7BFDE"/>
          </w:tcPr>
          <w:p w:rsidR="00A43262" w:rsidRPr="002F6F08" w:rsidRDefault="00A43262" w:rsidP="002F6F08">
            <w:pPr>
              <w:spacing w:after="0" w:line="240" w:lineRule="auto"/>
            </w:pPr>
            <w:r w:rsidRPr="002F6F08">
              <w:t xml:space="preserve">This version is managed by the National Institute for Professional Practice in partnership with Wilkes University.  </w:t>
            </w:r>
          </w:p>
        </w:tc>
        <w:tc>
          <w:tcPr>
            <w:tcW w:w="2555" w:type="dxa"/>
            <w:tcBorders>
              <w:top w:val="single" w:sz="8" w:space="0" w:color="FFFFFF"/>
              <w:left w:val="single" w:sz="8" w:space="0" w:color="FFFFFF"/>
              <w:bottom w:val="single" w:sz="8" w:space="0" w:color="FFFFFF"/>
              <w:right w:val="single" w:sz="8" w:space="0" w:color="FFFFFF"/>
            </w:tcBorders>
            <w:shd w:val="clear" w:color="auto" w:fill="A7BFDE"/>
          </w:tcPr>
          <w:p w:rsidR="00A43262" w:rsidRPr="002F6F08" w:rsidRDefault="00A43262" w:rsidP="002F6F08">
            <w:pPr>
              <w:spacing w:after="0" w:line="240" w:lineRule="auto"/>
            </w:pPr>
            <w:r w:rsidRPr="002F6F08">
              <w:t xml:space="preserve">Fall 2009 Semester </w:t>
            </w:r>
          </w:p>
          <w:p w:rsidR="00A43262" w:rsidRPr="002F6F08" w:rsidRDefault="00A43262" w:rsidP="002F6F08">
            <w:pPr>
              <w:pStyle w:val="ListParagraph"/>
              <w:numPr>
                <w:ilvl w:val="0"/>
                <w:numId w:val="4"/>
              </w:numPr>
              <w:spacing w:after="0" w:line="240" w:lineRule="auto"/>
              <w:ind w:left="263" w:hanging="180"/>
            </w:pPr>
            <w:r w:rsidRPr="002F6F08">
              <w:t>2  - 9 week sessions</w:t>
            </w:r>
          </w:p>
          <w:p w:rsidR="00A43262" w:rsidRPr="002F6F08" w:rsidRDefault="00A43262" w:rsidP="002F6F08">
            <w:pPr>
              <w:pStyle w:val="ListParagraph"/>
              <w:numPr>
                <w:ilvl w:val="0"/>
                <w:numId w:val="4"/>
              </w:numPr>
              <w:spacing w:after="0" w:line="240" w:lineRule="auto"/>
              <w:ind w:left="263" w:hanging="180"/>
            </w:pPr>
            <w:r w:rsidRPr="002F6F08">
              <w:t>1 - 14 week session</w:t>
            </w:r>
          </w:p>
          <w:p w:rsidR="00A43262" w:rsidRPr="002F6F08" w:rsidRDefault="00A43262" w:rsidP="002F6F08">
            <w:pPr>
              <w:spacing w:after="0" w:line="240" w:lineRule="auto"/>
            </w:pPr>
            <w:r w:rsidRPr="002F6F08">
              <w:t>Spring 2010 Semester</w:t>
            </w:r>
          </w:p>
          <w:p w:rsidR="00A43262" w:rsidRPr="002F6F08" w:rsidRDefault="00A43262" w:rsidP="002F6F08">
            <w:pPr>
              <w:pStyle w:val="ListParagraph"/>
              <w:numPr>
                <w:ilvl w:val="0"/>
                <w:numId w:val="4"/>
              </w:numPr>
              <w:spacing w:after="0" w:line="240" w:lineRule="auto"/>
              <w:ind w:left="263" w:hanging="180"/>
            </w:pPr>
            <w:r w:rsidRPr="002F6F08">
              <w:t>2 - 9 week sessions</w:t>
            </w:r>
          </w:p>
          <w:p w:rsidR="00A43262" w:rsidRPr="002F6F08" w:rsidRDefault="00A43262" w:rsidP="002F6F08">
            <w:pPr>
              <w:pStyle w:val="ListParagraph"/>
              <w:numPr>
                <w:ilvl w:val="0"/>
                <w:numId w:val="4"/>
              </w:numPr>
              <w:spacing w:after="0" w:line="240" w:lineRule="auto"/>
              <w:ind w:left="263" w:hanging="180"/>
            </w:pPr>
            <w:r w:rsidRPr="002F6F08">
              <w:t>1 - 14 week session</w:t>
            </w:r>
          </w:p>
          <w:p w:rsidR="00A43262" w:rsidRPr="002F6F08" w:rsidRDefault="00A43262" w:rsidP="002F6F08">
            <w:pPr>
              <w:spacing w:after="0" w:line="240" w:lineRule="auto"/>
            </w:pPr>
            <w:r w:rsidRPr="002F6F08">
              <w:t xml:space="preserve">Summer 2010 </w:t>
            </w:r>
          </w:p>
          <w:p w:rsidR="00A43262" w:rsidRPr="002F6F08" w:rsidRDefault="00A43262" w:rsidP="002F6F08">
            <w:pPr>
              <w:pStyle w:val="ListParagraph"/>
              <w:numPr>
                <w:ilvl w:val="0"/>
                <w:numId w:val="4"/>
              </w:numPr>
              <w:spacing w:after="0" w:line="240" w:lineRule="auto"/>
              <w:ind w:left="263" w:hanging="180"/>
            </w:pPr>
            <w:r w:rsidRPr="002F6F08">
              <w:t>1 session</w:t>
            </w:r>
          </w:p>
          <w:p w:rsidR="00A43262" w:rsidRPr="002F6F08" w:rsidRDefault="00A43262" w:rsidP="002F6F08">
            <w:pPr>
              <w:pStyle w:val="ListParagraph"/>
              <w:numPr>
                <w:ilvl w:val="0"/>
                <w:numId w:val="4"/>
              </w:numPr>
              <w:spacing w:after="0" w:line="240" w:lineRule="auto"/>
              <w:ind w:left="263" w:hanging="180"/>
            </w:pPr>
            <w:r w:rsidRPr="002F6F08">
              <w:t>limited course offering due to job embedded activities</w:t>
            </w:r>
          </w:p>
        </w:tc>
        <w:tc>
          <w:tcPr>
            <w:tcW w:w="3051" w:type="dxa"/>
            <w:tcBorders>
              <w:top w:val="single" w:sz="8" w:space="0" w:color="FFFFFF"/>
              <w:left w:val="single" w:sz="8" w:space="0" w:color="FFFFFF"/>
              <w:bottom w:val="single" w:sz="8" w:space="0" w:color="FFFFFF"/>
              <w:right w:val="single" w:sz="8" w:space="0" w:color="FFFFFF"/>
            </w:tcBorders>
            <w:shd w:val="clear" w:color="auto" w:fill="A7BFDE"/>
          </w:tcPr>
          <w:p w:rsidR="00A43262" w:rsidRPr="002F6F08" w:rsidRDefault="00A43262" w:rsidP="002F6F08">
            <w:pPr>
              <w:spacing w:after="0" w:line="240" w:lineRule="auto"/>
            </w:pPr>
            <w:r w:rsidRPr="002F6F08">
              <w:t xml:space="preserve">For more information or to register for courses: </w:t>
            </w:r>
            <w:hyperlink r:id="rId5" w:history="1">
              <w:r w:rsidRPr="002F6F08">
                <w:rPr>
                  <w:rStyle w:val="Hyperlink"/>
                </w:rPr>
                <w:t>www.professionalpractice.org</w:t>
              </w:r>
            </w:hyperlink>
            <w:r w:rsidRPr="002F6F08">
              <w:t xml:space="preserve"> </w:t>
            </w:r>
          </w:p>
        </w:tc>
        <w:tc>
          <w:tcPr>
            <w:tcW w:w="1473" w:type="dxa"/>
            <w:tcBorders>
              <w:top w:val="single" w:sz="8" w:space="0" w:color="FFFFFF"/>
              <w:left w:val="single" w:sz="8" w:space="0" w:color="FFFFFF"/>
              <w:bottom w:val="single" w:sz="8" w:space="0" w:color="FFFFFF"/>
            </w:tcBorders>
            <w:shd w:val="clear" w:color="auto" w:fill="A7BFDE"/>
          </w:tcPr>
          <w:p w:rsidR="00A43262" w:rsidRPr="002F6F08" w:rsidRDefault="00A43262" w:rsidP="002F6F08">
            <w:pPr>
              <w:spacing w:after="0" w:line="240" w:lineRule="auto"/>
            </w:pPr>
            <w:r w:rsidRPr="002F6F08">
              <w:t>90 hours plus 3 graduate  credits</w:t>
            </w:r>
          </w:p>
        </w:tc>
      </w:tr>
      <w:tr w:rsidR="00A43262" w:rsidRPr="002F6F08" w:rsidTr="002F6F08">
        <w:trPr>
          <w:cantSplit/>
          <w:jc w:val="center"/>
        </w:trPr>
        <w:tc>
          <w:tcPr>
            <w:tcW w:w="1368" w:type="dxa"/>
            <w:tcBorders>
              <w:bottom w:val="single" w:sz="8" w:space="0" w:color="FFFFFF"/>
              <w:right w:val="single" w:sz="24" w:space="0" w:color="FFFFFF"/>
            </w:tcBorders>
            <w:shd w:val="clear" w:color="auto" w:fill="4F81BD"/>
          </w:tcPr>
          <w:p w:rsidR="00A43262" w:rsidRPr="002F6F08" w:rsidRDefault="00A43262" w:rsidP="002F6F08">
            <w:pPr>
              <w:spacing w:after="0" w:line="240" w:lineRule="auto"/>
              <w:rPr>
                <w:b/>
                <w:bCs/>
                <w:color w:val="FFFFFF"/>
              </w:rPr>
            </w:pPr>
            <w:r w:rsidRPr="002F6F08">
              <w:rPr>
                <w:b/>
                <w:bCs/>
                <w:color w:val="FFFFFF"/>
              </w:rPr>
              <w:t>Customized Content</w:t>
            </w:r>
          </w:p>
        </w:tc>
        <w:tc>
          <w:tcPr>
            <w:tcW w:w="2419" w:type="dxa"/>
            <w:tcBorders>
              <w:bottom w:val="single" w:sz="8" w:space="0" w:color="FFFFFF"/>
            </w:tcBorders>
            <w:shd w:val="clear" w:color="auto" w:fill="D3DFEE"/>
          </w:tcPr>
          <w:p w:rsidR="00A43262" w:rsidRPr="002F6F08" w:rsidRDefault="00A43262" w:rsidP="002F6F08">
            <w:pPr>
              <w:spacing w:after="0" w:line="240" w:lineRule="auto"/>
            </w:pPr>
            <w:r w:rsidRPr="002F6F08">
              <w:t xml:space="preserve">This option allows a coach, district professional developer, administrators and others to select specific portion(s) of a course for professional development. </w:t>
            </w:r>
          </w:p>
        </w:tc>
        <w:tc>
          <w:tcPr>
            <w:tcW w:w="2555" w:type="dxa"/>
            <w:tcBorders>
              <w:bottom w:val="single" w:sz="8" w:space="0" w:color="FFFFFF"/>
            </w:tcBorders>
            <w:shd w:val="clear" w:color="auto" w:fill="D3DFEE"/>
          </w:tcPr>
          <w:p w:rsidR="00A43262" w:rsidRPr="002F6F08" w:rsidRDefault="00A43262" w:rsidP="002F6F08">
            <w:pPr>
              <w:spacing w:after="0" w:line="240" w:lineRule="auto"/>
            </w:pPr>
            <w:r w:rsidRPr="002F6F08">
              <w:t>Podcasts or specific articles may be selected to download and share with teachers.</w:t>
            </w:r>
          </w:p>
          <w:p w:rsidR="00A43262" w:rsidRPr="002F6F08" w:rsidRDefault="00A43262" w:rsidP="002F6F08">
            <w:pPr>
              <w:spacing w:after="0" w:line="240" w:lineRule="auto"/>
            </w:pPr>
          </w:p>
          <w:p w:rsidR="00A43262" w:rsidRPr="002F6F08" w:rsidRDefault="00A43262" w:rsidP="002F6F08">
            <w:pPr>
              <w:spacing w:after="0" w:line="240" w:lineRule="auto"/>
            </w:pPr>
            <w:r w:rsidRPr="002F6F08">
              <w:t>Course multimedia or video may be shared with a group.</w:t>
            </w:r>
          </w:p>
          <w:p w:rsidR="00A43262" w:rsidRPr="002F6F08" w:rsidRDefault="00A43262" w:rsidP="002F6F08">
            <w:pPr>
              <w:spacing w:after="0" w:line="240" w:lineRule="auto"/>
            </w:pPr>
          </w:p>
          <w:p w:rsidR="00A43262" w:rsidRPr="002F6F08" w:rsidRDefault="00A43262" w:rsidP="002F6F08">
            <w:pPr>
              <w:spacing w:after="0" w:line="240" w:lineRule="auto"/>
            </w:pPr>
            <w:r w:rsidRPr="002F6F08">
              <w:t>Articles, videos, and additional course content may serve as prompts for follow up discussions with a group online or in a face to face session.</w:t>
            </w:r>
          </w:p>
        </w:tc>
        <w:tc>
          <w:tcPr>
            <w:tcW w:w="3051" w:type="dxa"/>
            <w:tcBorders>
              <w:bottom w:val="single" w:sz="8" w:space="0" w:color="FFFFFF"/>
            </w:tcBorders>
            <w:shd w:val="clear" w:color="auto" w:fill="D3DFEE"/>
          </w:tcPr>
          <w:p w:rsidR="00A43262" w:rsidRPr="002F6F08" w:rsidRDefault="00A43262" w:rsidP="002F6F08">
            <w:pPr>
              <w:spacing w:after="0" w:line="240" w:lineRule="auto"/>
            </w:pPr>
            <w:r w:rsidRPr="002F6F08">
              <w:t>Use the facilitation privilege to access multimedia, articles, podcasts, videos, and activities.  The facilitation privileges allow resources to be available independent of the online course.</w:t>
            </w:r>
          </w:p>
        </w:tc>
        <w:tc>
          <w:tcPr>
            <w:tcW w:w="1473" w:type="dxa"/>
            <w:tcBorders>
              <w:bottom w:val="single" w:sz="8" w:space="0" w:color="FFFFFF"/>
            </w:tcBorders>
            <w:shd w:val="clear" w:color="auto" w:fill="D3DFEE"/>
          </w:tcPr>
          <w:p w:rsidR="00A43262" w:rsidRPr="002F6F08" w:rsidRDefault="00A43262" w:rsidP="002F6F08">
            <w:pPr>
              <w:spacing w:after="0" w:line="240" w:lineRule="auto"/>
            </w:pPr>
            <w:r w:rsidRPr="002F6F08">
              <w:t>Act 48 hours may be reported as part of district professional development offerings</w:t>
            </w:r>
          </w:p>
        </w:tc>
      </w:tr>
    </w:tbl>
    <w:p w:rsidR="00A43262" w:rsidRDefault="00A43262" w:rsidP="008E1F6C"/>
    <w:p w:rsidR="00A43262" w:rsidRDefault="00A43262" w:rsidP="008E1F6C">
      <w:r>
        <w:t xml:space="preserve">**Note:  Districts continuing implementation of the eMBEDDED LEARNING Academy have free access to additional courses and course series. The Early Literacy series (K-3) and the Teacher Leadership and Coaching series (K-12) are available.  A library of self-study courses on a variety of topics is offered.  For more information please visit </w:t>
      </w:r>
      <w:hyperlink r:id="rId6" w:history="1">
        <w:r w:rsidRPr="008A49FD">
          <w:rPr>
            <w:rStyle w:val="Hyperlink"/>
          </w:rPr>
          <w:t>http://www.embeddedlearningacademy.com/pde/21</w:t>
        </w:r>
      </w:hyperlink>
      <w:r>
        <w:t>, , log in and select the catalog tab to view a complete list of the courses available.</w:t>
      </w:r>
    </w:p>
    <w:sectPr w:rsidR="00A43262" w:rsidSect="00A95C9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PMingLiU">
    <w:altName w:val="¡Ps2OcuAe"/>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481C3E"/>
    <w:multiLevelType w:val="hybridMultilevel"/>
    <w:tmpl w:val="37A06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027F7C"/>
    <w:multiLevelType w:val="hybridMultilevel"/>
    <w:tmpl w:val="081C5D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D60536C"/>
    <w:multiLevelType w:val="hybridMultilevel"/>
    <w:tmpl w:val="22486C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F1E6F5A"/>
    <w:multiLevelType w:val="hybridMultilevel"/>
    <w:tmpl w:val="42D0B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drawingGridHorizontalSpacing w:val="110"/>
  <w:displayHorizontalDrawingGridEvery w:val="2"/>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7AEF"/>
    <w:rsid w:val="00083995"/>
    <w:rsid w:val="0011111E"/>
    <w:rsid w:val="001A22AF"/>
    <w:rsid w:val="00213D6C"/>
    <w:rsid w:val="002933C2"/>
    <w:rsid w:val="002F09F6"/>
    <w:rsid w:val="002F6F08"/>
    <w:rsid w:val="003211F6"/>
    <w:rsid w:val="00331800"/>
    <w:rsid w:val="00336A47"/>
    <w:rsid w:val="0038558D"/>
    <w:rsid w:val="00436305"/>
    <w:rsid w:val="0048332D"/>
    <w:rsid w:val="00495543"/>
    <w:rsid w:val="00580880"/>
    <w:rsid w:val="005C08F6"/>
    <w:rsid w:val="00602F67"/>
    <w:rsid w:val="006653A4"/>
    <w:rsid w:val="006903ED"/>
    <w:rsid w:val="006F3BD9"/>
    <w:rsid w:val="007E7EDC"/>
    <w:rsid w:val="008326DE"/>
    <w:rsid w:val="0084224C"/>
    <w:rsid w:val="008A49FD"/>
    <w:rsid w:val="008E1F6C"/>
    <w:rsid w:val="009D5785"/>
    <w:rsid w:val="00A03133"/>
    <w:rsid w:val="00A17A56"/>
    <w:rsid w:val="00A43262"/>
    <w:rsid w:val="00A77AEF"/>
    <w:rsid w:val="00A95C98"/>
    <w:rsid w:val="00AA5B03"/>
    <w:rsid w:val="00B14904"/>
    <w:rsid w:val="00B46115"/>
    <w:rsid w:val="00BC7687"/>
    <w:rsid w:val="00BE647C"/>
    <w:rsid w:val="00BE7817"/>
    <w:rsid w:val="00C82EA9"/>
    <w:rsid w:val="00D85FDB"/>
    <w:rsid w:val="00DE4DDC"/>
    <w:rsid w:val="00E67F0F"/>
    <w:rsid w:val="00F4005D"/>
    <w:rsid w:val="00F52C14"/>
    <w:rsid w:val="00FD0177"/>
    <w:rsid w:val="00FD203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PMingLiU"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6305"/>
    <w:pPr>
      <w:spacing w:after="200" w:line="276" w:lineRule="auto"/>
    </w:pPr>
    <w:rPr>
      <w:lang w:eastAsia="zh-TW"/>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77AEF"/>
    <w:pPr>
      <w:ind w:left="720"/>
      <w:contextualSpacing/>
    </w:pPr>
  </w:style>
  <w:style w:type="character" w:styleId="Hyperlink">
    <w:name w:val="Hyperlink"/>
    <w:basedOn w:val="DefaultParagraphFont"/>
    <w:uiPriority w:val="99"/>
    <w:rsid w:val="00A77AEF"/>
    <w:rPr>
      <w:rFonts w:cs="Times New Roman"/>
      <w:color w:val="0000FF"/>
      <w:u w:val="single"/>
    </w:rPr>
  </w:style>
  <w:style w:type="table" w:styleId="TableGrid">
    <w:name w:val="Table Grid"/>
    <w:basedOn w:val="TableNormal"/>
    <w:uiPriority w:val="99"/>
    <w:rsid w:val="008E1F6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ghtShading-Accent11">
    <w:name w:val="Light Shading - Accent 11"/>
    <w:uiPriority w:val="99"/>
    <w:rsid w:val="00BC7687"/>
    <w:rPr>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customStyle="1" w:styleId="MediumShading2-Accent11">
    <w:name w:val="Medium Shading 2 - Accent 11"/>
    <w:uiPriority w:val="99"/>
    <w:rsid w:val="00BC7687"/>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F81BD"/>
      </w:tcPr>
    </w:tblStylePr>
    <w:tblStylePr w:type="lastCol">
      <w:rPr>
        <w:rFonts w:cs="Times New Roman"/>
        <w:b/>
        <w:bCs/>
        <w:color w:val="FFFFFF"/>
      </w:rPr>
      <w:tblPr/>
      <w:tcPr>
        <w:tcBorders>
          <w:left w:val="nil"/>
          <w:right w:val="nil"/>
          <w:insideH w:val="nil"/>
          <w:insideV w:val="nil"/>
        </w:tcBorders>
        <w:shd w:val="clear" w:color="auto" w:fill="4F81B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11">
    <w:name w:val="Medium Shading 1 - Accent 11"/>
    <w:uiPriority w:val="99"/>
    <w:rsid w:val="00BC7687"/>
    <w:rPr>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styleId="MediumGrid3-Accent1">
    <w:name w:val="Medium Grid 3 Accent 1"/>
    <w:basedOn w:val="TableNormal"/>
    <w:uiPriority w:val="99"/>
    <w:rsid w:val="00BC7687"/>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BalloonText">
    <w:name w:val="Balloon Text"/>
    <w:basedOn w:val="Normal"/>
    <w:link w:val="BalloonTextChar"/>
    <w:uiPriority w:val="99"/>
    <w:semiHidden/>
    <w:rsid w:val="003855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8558D"/>
    <w:rPr>
      <w:rFonts w:ascii="Tahoma" w:hAnsi="Tahoma" w:cs="Tahoma"/>
      <w:sz w:val="16"/>
      <w:szCs w:val="16"/>
    </w:rPr>
  </w:style>
  <w:style w:type="character" w:styleId="CommentReference">
    <w:name w:val="annotation reference"/>
    <w:basedOn w:val="DefaultParagraphFont"/>
    <w:uiPriority w:val="99"/>
    <w:semiHidden/>
    <w:rsid w:val="00FD203E"/>
    <w:rPr>
      <w:rFonts w:cs="Times New Roman"/>
      <w:sz w:val="16"/>
      <w:szCs w:val="16"/>
    </w:rPr>
  </w:style>
  <w:style w:type="paragraph" w:styleId="CommentText">
    <w:name w:val="annotation text"/>
    <w:basedOn w:val="Normal"/>
    <w:link w:val="CommentTextChar"/>
    <w:uiPriority w:val="99"/>
    <w:semiHidden/>
    <w:rsid w:val="00FD203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FD203E"/>
    <w:rPr>
      <w:rFonts w:cs="Times New Roman"/>
      <w:sz w:val="20"/>
      <w:szCs w:val="20"/>
    </w:rPr>
  </w:style>
  <w:style w:type="paragraph" w:styleId="CommentSubject">
    <w:name w:val="annotation subject"/>
    <w:basedOn w:val="CommentText"/>
    <w:next w:val="CommentText"/>
    <w:link w:val="CommentSubjectChar"/>
    <w:uiPriority w:val="99"/>
    <w:semiHidden/>
    <w:rsid w:val="00FD203E"/>
    <w:rPr>
      <w:b/>
      <w:bCs/>
    </w:rPr>
  </w:style>
  <w:style w:type="character" w:customStyle="1" w:styleId="CommentSubjectChar">
    <w:name w:val="Comment Subject Char"/>
    <w:basedOn w:val="CommentTextChar"/>
    <w:link w:val="CommentSubject"/>
    <w:uiPriority w:val="99"/>
    <w:semiHidden/>
    <w:locked/>
    <w:rsid w:val="00FD203E"/>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mbeddedlearningacademy.com/pde/21" TargetMode="External"/><Relationship Id="rId5" Type="http://schemas.openxmlformats.org/officeDocument/2006/relationships/hyperlink" Target="http://www.professionalpractice.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2</Pages>
  <Words>598</Words>
  <Characters>3411</Characters>
  <Application>Microsoft Office Outlook</Application>
  <DocSecurity>0</DocSecurity>
  <Lines>0</Lines>
  <Paragraphs>0</Paragraphs>
  <ScaleCrop>false</ScaleCrop>
  <Company>Learning Sciences International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Teaching in the 21st Century Series</dc:title>
  <dc:subject/>
  <dc:creator>aolsen</dc:creator>
  <cp:keywords/>
  <dc:description/>
  <cp:lastModifiedBy>c-hjobe</cp:lastModifiedBy>
  <cp:revision>2</cp:revision>
  <cp:lastPrinted>2009-07-24T13:47:00Z</cp:lastPrinted>
  <dcterms:created xsi:type="dcterms:W3CDTF">2009-07-24T17:09:00Z</dcterms:created>
  <dcterms:modified xsi:type="dcterms:W3CDTF">2009-07-24T17:09:00Z</dcterms:modified>
</cp:coreProperties>
</file>